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eastAsia="黑体" w:cs="黑体"/>
          <w:sz w:val="28"/>
          <w:szCs w:val="28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>附</w:t>
      </w:r>
      <w:r>
        <w:rPr>
          <w:rFonts w:hint="eastAsia" w:ascii="宋体" w:hAnsi="宋体" w:eastAsia="方正黑体_GBK" w:cs="方正黑体_GBK"/>
          <w:sz w:val="32"/>
          <w:szCs w:val="32"/>
          <w:lang w:eastAsia="zh-CN"/>
        </w:rPr>
        <w:t>件</w:t>
      </w: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方正黑体_GBK" w:cs="方正黑体_GBK"/>
          <w:sz w:val="32"/>
          <w:szCs w:val="32"/>
        </w:rPr>
        <w:t>：</w:t>
      </w:r>
    </w:p>
    <w:p>
      <w:pPr>
        <w:jc w:val="center"/>
        <w:rPr>
          <w:rFonts w:ascii="宋体" w:hAnsi="宋体" w:eastAsia="方正小标宋简体" w:cs="Times New Roman"/>
          <w:sz w:val="36"/>
          <w:szCs w:val="36"/>
        </w:rPr>
      </w:pPr>
      <w:r>
        <w:rPr>
          <w:rFonts w:hint="eastAsia" w:ascii="宋体" w:hAnsi="宋体" w:eastAsia="方正小标宋简体" w:cs="方正小标宋简体"/>
          <w:sz w:val="36"/>
          <w:szCs w:val="36"/>
        </w:rPr>
        <w:t>2021年度项目支出绩效自评表</w:t>
      </w:r>
    </w:p>
    <w:p>
      <w:pPr>
        <w:widowControl/>
        <w:jc w:val="left"/>
        <w:rPr>
          <w:rFonts w:hint="eastAsia" w:ascii="宋体" w:hAnsi="宋体" w:eastAsia="楷体_GB2312" w:cs="楷体_GB2312"/>
          <w:kern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保山市质量技术监督综合检测中心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kern w:val="0"/>
          <w:sz w:val="15"/>
          <w:szCs w:val="15"/>
        </w:rPr>
        <w:t xml:space="preserve">             </w:t>
      </w:r>
      <w:r>
        <w:rPr>
          <w:rFonts w:hint="eastAsia" w:ascii="宋体" w:hAnsi="宋体" w:cs="宋体"/>
          <w:kern w:val="0"/>
          <w:sz w:val="15"/>
          <w:szCs w:val="15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2022年5月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日</w:t>
      </w:r>
    </w:p>
    <w:tbl>
      <w:tblPr>
        <w:tblStyle w:val="3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特种设备监督检验成本补助经费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保山市质量技术监督综合检测中心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保山市质量技术监督综合检测中心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、部门预算项目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2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直专项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3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对下转移支付项目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、持续性项目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2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、新增性项目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预算数（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执行数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执行率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分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*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93.60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37.44%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7.49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年初目标值（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实际完成值（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</w:rPr>
              <w:t>特种设备检验检测台件数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10384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台（件）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12662台（件）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设备验收合格率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=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=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设备验收完成时间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≦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2021年12月31日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≦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2021年12月31日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成本控制数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250万元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93.60万元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经济效益指标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非税收入完成额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500万元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565.72万元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</w:rPr>
              <w:t>保障当地特种设备安全，提供检验检测服务。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=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效果显著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=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效果显著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客户异议解决率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送检单位满意率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客户投诉次数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≦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5次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87.49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因财政资金紧张，年中对单位项目资金进行调整，减少实际到账额度。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根据单位用款计划需求，加强与财政沟通，合理减少财政调整项目资金额度，确保单位正常运转及符合发展需求。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仿宋_GB2312" w:cs="Times New Roman"/>
          <w:kern w:val="0"/>
          <w:sz w:val="21"/>
          <w:szCs w:val="21"/>
        </w:rPr>
      </w:pPr>
      <w:r>
        <w:rPr>
          <w:rFonts w:hint="eastAsia" w:ascii="宋体" w:hAnsi="宋体" w:eastAsia="仿宋_GB2312" w:cs="仿宋_GB2312"/>
          <w:kern w:val="0"/>
          <w:sz w:val="21"/>
          <w:szCs w:val="21"/>
        </w:rPr>
        <w:t>备注：</w:t>
      </w:r>
      <w:r>
        <w:rPr>
          <w:rFonts w:ascii="宋体" w:hAnsi="宋体" w:eastAsia="仿宋_GB2312" w:cs="仿宋_GB2312"/>
          <w:kern w:val="0"/>
          <w:sz w:val="21"/>
          <w:szCs w:val="21"/>
        </w:rPr>
        <w:t>1.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预算执行情况口径：预算数为调整后财政资金总额（包括上年结余结转），执行数为资金使用单位财政资金实际支出数。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仿宋_GB2312" w:cs="Times New Roman"/>
          <w:kern w:val="0"/>
          <w:sz w:val="21"/>
          <w:szCs w:val="21"/>
        </w:rPr>
      </w:pPr>
      <w:r>
        <w:rPr>
          <w:rFonts w:ascii="宋体" w:hAnsi="宋体" w:eastAsia="仿宋_GB2312" w:cs="仿宋_GB2312"/>
          <w:kern w:val="0"/>
          <w:sz w:val="21"/>
          <w:szCs w:val="21"/>
        </w:rPr>
        <w:t>2.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eastAsia="仿宋_GB2312" w:cs="仿宋_GB2312"/>
          <w:kern w:val="0"/>
          <w:sz w:val="21"/>
          <w:szCs w:val="21"/>
        </w:rPr>
        <w:t>X,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得分</w:t>
      </w:r>
      <w:r>
        <w:rPr>
          <w:rFonts w:ascii="宋体" w:hAnsi="宋体" w:eastAsia="仿宋_GB2312" w:cs="仿宋_GB2312"/>
          <w:kern w:val="0"/>
          <w:sz w:val="21"/>
          <w:szCs w:val="21"/>
        </w:rPr>
        <w:t>=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权重</w:t>
      </w:r>
      <w:r>
        <w:rPr>
          <w:rFonts w:ascii="宋体" w:hAnsi="宋体" w:eastAsia="仿宋_GB2312" w:cs="仿宋_GB2312"/>
          <w:kern w:val="0"/>
          <w:sz w:val="21"/>
          <w:szCs w:val="21"/>
        </w:rPr>
        <w:t>*B/A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），反向指标（即目标值为≤</w:t>
      </w:r>
      <w:r>
        <w:rPr>
          <w:rFonts w:ascii="宋体" w:hAnsi="宋体" w:eastAsia="仿宋_GB2312" w:cs="仿宋_GB2312"/>
          <w:kern w:val="0"/>
          <w:sz w:val="21"/>
          <w:szCs w:val="21"/>
        </w:rPr>
        <w:t>X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，得分</w:t>
      </w:r>
      <w:r>
        <w:rPr>
          <w:rFonts w:ascii="宋体" w:hAnsi="宋体" w:eastAsia="仿宋_GB2312" w:cs="仿宋_GB2312"/>
          <w:kern w:val="0"/>
          <w:sz w:val="21"/>
          <w:szCs w:val="21"/>
        </w:rPr>
        <w:t>=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权重</w:t>
      </w:r>
      <w:r>
        <w:rPr>
          <w:rFonts w:ascii="宋体" w:hAnsi="宋体" w:eastAsia="仿宋_GB2312" w:cs="仿宋_GB2312"/>
          <w:kern w:val="0"/>
          <w:sz w:val="21"/>
          <w:szCs w:val="21"/>
        </w:rPr>
        <w:t>*A/B）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，得分不得突破权重总额。定量指标先汇总完成数，再计算得分。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仿宋_GB2312" w:cs="Times New Roman"/>
          <w:kern w:val="0"/>
          <w:sz w:val="21"/>
          <w:szCs w:val="21"/>
        </w:rPr>
      </w:pPr>
      <w:r>
        <w:rPr>
          <w:rFonts w:ascii="宋体" w:hAnsi="宋体" w:eastAsia="仿宋_GB2312" w:cs="仿宋_GB2312"/>
          <w:kern w:val="0"/>
          <w:sz w:val="21"/>
          <w:szCs w:val="21"/>
        </w:rPr>
        <w:t>3.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eastAsia="仿宋_GB2312" w:cs="仿宋_GB2312"/>
          <w:kern w:val="0"/>
          <w:sz w:val="21"/>
          <w:szCs w:val="21"/>
        </w:rPr>
        <w:t>100-80%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（含</w:t>
      </w:r>
      <w:r>
        <w:rPr>
          <w:rFonts w:ascii="宋体" w:hAnsi="宋体" w:eastAsia="仿宋_GB2312" w:cs="仿宋_GB2312"/>
          <w:kern w:val="0"/>
          <w:sz w:val="21"/>
          <w:szCs w:val="21"/>
        </w:rPr>
        <w:t>80%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）、</w:t>
      </w:r>
      <w:r>
        <w:rPr>
          <w:rFonts w:ascii="宋体" w:hAnsi="宋体" w:eastAsia="仿宋_GB2312" w:cs="仿宋_GB2312"/>
          <w:kern w:val="0"/>
          <w:sz w:val="21"/>
          <w:szCs w:val="21"/>
        </w:rPr>
        <w:t>80-50%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（含</w:t>
      </w:r>
      <w:r>
        <w:rPr>
          <w:rFonts w:ascii="宋体" w:hAnsi="宋体" w:eastAsia="仿宋_GB2312" w:cs="仿宋_GB2312"/>
          <w:kern w:val="0"/>
          <w:sz w:val="21"/>
          <w:szCs w:val="21"/>
        </w:rPr>
        <w:t>50%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）、</w:t>
      </w:r>
      <w:r>
        <w:rPr>
          <w:rFonts w:ascii="宋体" w:hAnsi="宋体" w:eastAsia="仿宋_GB2312" w:cs="仿宋_GB2312"/>
          <w:kern w:val="0"/>
          <w:sz w:val="21"/>
          <w:szCs w:val="21"/>
        </w:rPr>
        <w:t>50-0%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合理确定分值。汇总时，以资金额度为权重，对分值进行加权平均计算。</w:t>
      </w:r>
    </w:p>
    <w:p>
      <w:r>
        <w:rPr>
          <w:rFonts w:ascii="宋体" w:hAnsi="宋体" w:eastAsia="仿宋_GB2312" w:cs="仿宋_GB2312"/>
          <w:kern w:val="0"/>
          <w:sz w:val="21"/>
          <w:szCs w:val="21"/>
        </w:rPr>
        <w:t>4.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基于经济性和必要性等因素考虑，满意度指标暂可不作为必评指标。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9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tLeast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2022-06-29T02:54:07Z</dcterms:created>
  <dc:creator>Administrator</dc:creator>
  <cp:lastModifiedBy>Administrator</cp:lastModifiedBy>
  <dcterms:modified xsi:type="dcterms:W3CDTF">2022-06-29T02:54:14Z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